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24"/>
          <w:szCs w:val="24"/>
          <w:rtl w:val="0"/>
        </w:rPr>
        <w:t xml:space="preserve">Le club de la pluie chapitre 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Ecoutez le chapitre 1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Répondez aux questions. Vous pouvez écouter plusieurs fois l’audio. 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quel moment de l'année  se déroule le début de l'histoire?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Après les grandes vacances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à la Toussaint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 milieu d'année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Où se trouve le pensionnat?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à Saint Malo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à Paris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à Bordeaux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 est dans la voiture?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Mettez en bleu la bonne réponse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 père et son fils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une mère et sa fille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 père et sa fille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une mère et son fils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s'appelle le pensionnat?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Mettez en bleu la bonne réponse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Les pierres blanches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Les pierre grises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Les pierres noires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Quel est le nom de la directrice?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Mettez en bleu la bonne réponse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Madame Canard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Madame Bernard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Madame Renard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Madame Saint Malo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Complétez le texte à trous.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Rose a         ans, elle vient au                         des pierres  , car ses parents voyagent beaucoup 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C'est le prof d'EPS qui les accueille 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Mais en arrivant , quelqu'un jette un                         dans deux morceaux de                 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voici des mots pour t'aider :</w:t>
      </w:r>
      <w:r w:rsidDel="00000000" w:rsidR="00000000" w:rsidRPr="00000000">
        <w:rPr>
          <w:rtl w:val="0"/>
        </w:rPr>
        <w:t xml:space="preserve"> message , pensionnat , noires 10 , pain , message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L9DquzR83wwey--xUyi5fjrBagCEoQ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